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pPr>
      <w:r>
        <w:rPr/>
        <w:t>Conditions générales d’utilisation — NAKACHE EXPULSIONS</w:t>
      </w:r>
    </w:p>
    <w:p>
      <w:pPr>
        <w:pStyle w:val="Normal"/>
        <w:spacing w:before="0" w:after="200"/>
        <w:rPr/>
      </w:pPr>
      <w:r>
        <w:rPr>
          <w:color w:val="57606C"/>
          <w:sz w:val="16"/>
        </w:rPr>
        <w:t>Version du 20 octobre 2026</w:t>
      </w:r>
    </w:p>
    <w:p>
      <w:pPr>
        <w:pStyle w:val="Heading1"/>
        <w:rPr/>
      </w:pPr>
      <w:r>
        <w:rPr/>
        <w:t>1. Objet du site</w:t>
      </w:r>
    </w:p>
    <w:p>
      <w:pPr>
        <w:pStyle w:val="Normal"/>
        <w:rPr/>
      </w:pPr>
      <w:r>
        <w:rPr/>
        <w:t>Le site Nakache Expulsions présente les prestations de Maître Rachel NAKACHE, avocate au Barreau de Paris (cabinet NAKACHE DESCOINS), 67 boulevard Lannes, 75116 Paris. SIREN 800 879 991, SIRET 800 879 991 00027, TVA FR37800879991. Contact : contact@nakache-expulsions.fr. Directrice de la publication : Maître Rachel NAKACHE. Hébergeur : Netlify, Inc., 101 2nd Street, Suite 575, San Francisco, CA 94105, États-Unis (+1 415 691 1573).</w:t>
      </w:r>
    </w:p>
    <w:p>
      <w:pPr>
        <w:pStyle w:val="Normal"/>
        <w:rPr/>
      </w:pPr>
      <w:r>
        <w:rPr/>
        <w:t>Il permet de consulter les forfaits Habitation, Commercial, Squat et Indemnisation par l’État, de prendre connaissance de leur périmètre et d’adresser une demande au cabinet. Les informations publiées sont générales et ne constituent ni un avis individualisé ni une garantie de résultat.</w:t>
      </w:r>
    </w:p>
    <w:p>
      <w:pPr>
        <w:pStyle w:val="Heading1"/>
        <w:rPr/>
      </w:pPr>
      <w:r>
        <w:rPr/>
        <w:t>2. Forfaits et parcours de demande</w:t>
      </w:r>
    </w:p>
    <w:p>
      <w:pPr>
        <w:pStyle w:val="Normal"/>
        <w:rPr/>
      </w:pPr>
      <w:r>
        <w:rPr/>
        <w:t>Les tarifs affichés sont exprimés TTC. Le forfait Squat comprend une phase préfectorale (600 € TTC) et, sur accord distinct, une phase judiciaire (1 800 € TTC). L’Indemnisation par l’État comprend un recours gracieux (1 400 € TTC) puis, si nécessaire et accepté, un recours devant le tribunal administratif (+ 1 480 € TTC, soit 2 880 € TTC au total). Un honoraire de résultat unique s’y ajoute : + 12 % TTC, soit 10 % HT, des indemnités en principal effectivement encaissées auprès de l’État, dans les conditions de la convention.</w:t>
      </w:r>
    </w:p>
    <w:p>
      <w:pPr>
        <w:pStyle w:val="Normal"/>
        <w:rPr/>
      </w:pPr>
      <w:r>
        <w:rPr/>
        <w:t>Les missions, limites, frais exclus et modalités de règlement sont définis dans les CGV et la convention d’honoraires. Chaque étape ultérieure nécessite l’accord écrit du client. Le formulaire ne vaut ni commande acceptée, ni consultation, ni engagement du cabinet.</w:t>
      </w:r>
    </w:p>
    <w:p>
      <w:pPr>
        <w:pStyle w:val="Heading1"/>
        <w:rPr/>
      </w:pPr>
      <w:r>
        <w:rPr/>
        <w:t>3. Convention et paiement</w:t>
      </w:r>
    </w:p>
    <w:p>
      <w:pPr>
        <w:pStyle w:val="Normal"/>
        <w:rPr/>
      </w:pPr>
      <w:r>
        <w:rPr/>
        <w:t>La mission débute après acceptation du dossier par le cabinet et signature d’une convention individualisée par les deux parties, manuscritement ou électroniquement. Les forfaits fixes peuvent être payés en une fois ou en trois fois sans frais, suivant l’échéancier contractuel. Le simple téléchargement de documents, l’envoi d’un formulaire ou le paiement éventuel ne vaut pas acceptation de mission.</w:t>
      </w:r>
    </w:p>
    <w:p>
      <w:pPr>
        <w:pStyle w:val="Normal"/>
        <w:rPr/>
      </w:pPr>
      <w:r>
        <w:rPr/>
        <w:t>Le paiement et la signature directement sur le site ne sont possibles que si les fonctionnalités correspondantes sont effectivement activées. Dans le cas contraire, le cabinet transmet les documents et les modalités de signature et de règlement séparément. Le droit de rétractation applicable au consommateur n’est pas supprimé par une signature ou un paiement. Lorsque la convention est conclue via le site, la fonctionnalité « Renoncer au contrat ici » est accessible pendant tout le délai de rétractation.</w:t>
      </w:r>
    </w:p>
    <w:p>
      <w:pPr>
        <w:pStyle w:val="Heading1"/>
        <w:rPr/>
      </w:pPr>
      <w:r>
        <w:rPr/>
        <w:t>4. Utilisation et disponibilité</w:t>
      </w:r>
    </w:p>
    <w:p>
      <w:pPr>
        <w:pStyle w:val="Normal"/>
        <w:rPr/>
      </w:pPr>
      <w:r>
        <w:rPr/>
        <w:t>L’utilisateur fournit des renseignements exacts, n’adresse pas de données bancaires sensibles par courriel. Le site peut être temporairement indisponible pour maintenance ou incident. Les textes et contenus sont protégés ; leur consultation et leur conservation pour un usage personnel sont autorisées.</w:t>
      </w:r>
    </w:p>
    <w:p>
      <w:pPr>
        <w:pStyle w:val="Heading1"/>
        <w:rPr/>
      </w:pPr>
      <w:r>
        <w:rPr/>
        <w:t>5. Données personnelles</w:t>
      </w:r>
    </w:p>
    <w:p>
      <w:pPr>
        <w:pStyle w:val="Normal"/>
        <w:rPr/>
      </w:pPr>
      <w:r>
        <w:rPr/>
        <w:t>Les informations volontairement transmises sont utilisées pour étudier la demande et, si la mission est acceptée, la gérer dans le respect du secret professionnel et de la réglementation applicable. Les informations sur les traitements, destinataires, conservation et droits figurent dans la notice de confidentialité. Pour exercer ses droits : contact@nakache-expulsions.fr. Lorsqu’ils sont activés, le paiement en ligne est traité par Stripe et la signature électronique par Docusign, chacun pour les seules données nécessaires ; le cabinet ne reçoit pas les données de carte bancaire. Réclamation possible auprès de la CNIL.</w:t>
      </w:r>
    </w:p>
    <w:p>
      <w:pPr>
        <w:pStyle w:val="Heading1"/>
        <w:rPr/>
      </w:pPr>
      <w:r>
        <w:rPr/>
        <w:t>6. Réclamations</w:t>
      </w:r>
    </w:p>
    <w:p>
      <w:pPr>
        <w:pStyle w:val="Normal"/>
        <w:widowControl/>
        <w:bidi w:val="0"/>
        <w:spacing w:lineRule="auto" w:line="256" w:before="0" w:after="24"/>
        <w:jc w:val="left"/>
        <w:rPr/>
      </w:pPr>
      <w:r>
        <w:rPr/>
        <w:t>Pour toute question sur le site : contact@nakache-expulsions.fr. Les réclamations concernant les prestations et honoraires relèvent des CGV et de la convention. Le droit français s’applique, sous réserve des règles protectrices impératives.</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247" w:right="1247" w:gutter="0" w:header="425" w:top="992" w:footer="425"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ptos">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Aptos Display">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color w:val="57606C"/>
        <w:sz w:val="16"/>
      </w:rPr>
      <w:t xml:space="preserve">Maître Rachel NAKACHE  ·  contact@nakache-expulsions.fr  |  </w:t>
    </w:r>
    <w:r>
      <w:rPr/>
      <w:fldChar w:fldCharType="begin"/>
    </w:r>
    <w:r>
      <w:rPr/>
      <w:instrText xml:space="preserve"> PAGE </w:instrText>
    </w:r>
    <w:r>
      <w:rPr/>
      <w:fldChar w:fldCharType="separate"/>
    </w:r>
    <w:r>
      <w:rPr/>
      <w:t>1</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color w:val="57606C"/>
        <w:sz w:val="16"/>
      </w:rPr>
      <w:t xml:space="preserve">Maître Rachel NAKACHE  ·  contact@nakache-expulsions.fr  |  </w:t>
    </w:r>
    <w:r>
      <w:rPr/>
      <w:fldChar w:fldCharType="begin"/>
    </w:r>
    <w:r>
      <w:rPr/>
      <w:instrText xml:space="preserve"> PAGE </w:instrText>
    </w:r>
    <w:r>
      <w:rPr/>
      <w:fldChar w:fldCharType="separate"/>
    </w:r>
    <w:r>
      <w:rPr/>
      <w:t>1</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left"/>
      <w:rPr/>
    </w:pPr>
    <w:r>
      <w:rPr>
        <w:rFonts w:ascii="Aptos Display" w:hAnsi="Aptos Display"/>
        <w:b/>
        <w:color w:val="1F3147"/>
        <w:sz w:val="22"/>
      </w:rPr>
      <w:t>NAKACHE DESCOINS</w:t>
    </w:r>
    <w:r>
      <w:rPr>
        <w:color w:val="57606C"/>
        <w:sz w:val="16"/>
      </w:rPr>
      <w:t xml:space="preserve">   |   AVOCATS AU BARREAU DE PARIS</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left"/>
      <w:rPr/>
    </w:pPr>
    <w:r>
      <w:rPr>
        <w:rFonts w:ascii="Aptos Display" w:hAnsi="Aptos Display"/>
        <w:b/>
        <w:color w:val="1F3147"/>
        <w:sz w:val="22"/>
      </w:rPr>
      <w:t>NAKACHE DESCOINS</w:t>
    </w:r>
    <w:r>
      <w:rPr>
        <w:color w:val="57606C"/>
        <w:sz w:val="16"/>
      </w:rPr>
      <w:t xml:space="preserve">   |   AVOCATS AU BARREAU DE PARIS</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56" w:before="0" w:after="24"/>
      <w:jc w:val="left"/>
    </w:pPr>
    <w:rPr>
      <w:rFonts w:ascii="Aptos" w:hAnsi="Aptos" w:eastAsia="ＭＳ 明朝" w:cs=""/>
      <w:color w:val="1F3147"/>
      <w:kern w:val="0"/>
      <w:sz w:val="18"/>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110" w:after="40"/>
      <w:outlineLvl w:val="0"/>
    </w:pPr>
    <w:rPr>
      <w:rFonts w:ascii="Calibri" w:hAnsi="Calibri" w:eastAsia="ＭＳ ゴシック" w:cs="" w:asciiTheme="majorHAnsi" w:cstheme="majorBidi" w:eastAsiaTheme="majorEastAsia" w:hAnsiTheme="majorHAnsi"/>
      <w:b/>
      <w:bCs/>
      <w:color w:val="843D3F"/>
      <w:sz w:val="21"/>
      <w:szCs w:val="28"/>
    </w:rPr>
  </w:style>
  <w:style w:type="paragraph" w:styleId="Heading2">
    <w:name w:val="Heading 2"/>
    <w:basedOn w:val="Normal"/>
    <w:next w:val="Normal"/>
    <w:link w:val="Heading2Char"/>
    <w:uiPriority w:val="9"/>
    <w:unhideWhenUsed/>
    <w:qFormat/>
    <w:rsid w:val="00fc693f"/>
    <w:pPr>
      <w:keepNext w:val="true"/>
      <w:keepLines/>
      <w:spacing w:before="140" w:after="60"/>
      <w:outlineLvl w:val="1"/>
    </w:pPr>
    <w:rPr>
      <w:rFonts w:ascii="Calibri" w:hAnsi="Calibri" w:eastAsia="ＭＳ ゴシック" w:cs="" w:asciiTheme="majorHAnsi" w:cstheme="majorBidi" w:eastAsiaTheme="majorEastAsia" w:hAnsiTheme="majorHAnsi"/>
      <w:b/>
      <w:bCs/>
      <w:color w:val="1F3147"/>
      <w:sz w:val="19"/>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4"/>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keepNext w:val="true"/>
      <w:pBdr>
        <w:bottom w:val="single" w:sz="8" w:space="4" w:color="4F81BD" w:themeColor="accent1"/>
      </w:pBdr>
      <w:spacing w:lineRule="auto" w:line="240" w:before="0" w:after="240"/>
      <w:contextualSpacing/>
    </w:pPr>
    <w:rPr>
      <w:rFonts w:ascii="Calibri" w:hAnsi="Calibri" w:eastAsia="ＭＳ ゴシック" w:cs="" w:asciiTheme="majorHAnsi" w:cstheme="majorBidi" w:eastAsiaTheme="majorEastAsia" w:hAnsiTheme="majorHAnsi"/>
      <w:b/>
      <w:color w:val="1F3147"/>
      <w:spacing w:val="5"/>
      <w:kern w:val="2"/>
      <w:sz w:val="3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4"/>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4"/>
      <w:ind w:hanging="360" w:left="720"/>
      <w:contextualSpacing/>
    </w:pPr>
    <w:rPr/>
  </w:style>
  <w:style w:type="paragraph" w:styleId="List3">
    <w:name w:val="List 3"/>
    <w:basedOn w:val="Normal"/>
    <w:uiPriority w:val="99"/>
    <w:unhideWhenUsed/>
    <w:qFormat/>
    <w:rsid w:val="00326f90"/>
    <w:pPr>
      <w:spacing w:before="0" w:after="24"/>
      <w:ind w:hanging="360" w:left="1080"/>
      <w:contextualSpacing/>
    </w:pPr>
    <w:rPr/>
  </w:style>
  <w:style w:type="paragraph" w:styleId="ListBullet">
    <w:name w:val="List Bullet"/>
    <w:basedOn w:val="Normal"/>
    <w:uiPriority w:val="99"/>
    <w:unhideWhenUsed/>
    <w:rsid w:val="00326f90"/>
    <w:pPr>
      <w:numPr>
        <w:ilvl w:val="0"/>
        <w:numId w:val="1"/>
      </w:numPr>
      <w:spacing w:before="0" w:after="24"/>
      <w:contextualSpacing/>
    </w:pPr>
    <w:rPr/>
  </w:style>
  <w:style w:type="paragraph" w:styleId="ListBullet2">
    <w:name w:val="List Bullet 2"/>
    <w:basedOn w:val="Normal"/>
    <w:uiPriority w:val="99"/>
    <w:unhideWhenUsed/>
    <w:rsid w:val="00326f90"/>
    <w:pPr>
      <w:numPr>
        <w:ilvl w:val="0"/>
        <w:numId w:val="2"/>
      </w:numPr>
      <w:spacing w:before="0" w:after="24"/>
      <w:contextualSpacing/>
    </w:pPr>
    <w:rPr/>
  </w:style>
  <w:style w:type="paragraph" w:styleId="ListBullet3">
    <w:name w:val="List Bullet 3"/>
    <w:basedOn w:val="Normal"/>
    <w:uiPriority w:val="99"/>
    <w:unhideWhenUsed/>
    <w:rsid w:val="00326f90"/>
    <w:pPr>
      <w:numPr>
        <w:ilvl w:val="0"/>
        <w:numId w:val="3"/>
      </w:numPr>
      <w:spacing w:before="0" w:after="24"/>
      <w:contextualSpacing/>
    </w:pPr>
    <w:rPr/>
  </w:style>
  <w:style w:type="paragraph" w:styleId="ListNumber">
    <w:name w:val="List Number"/>
    <w:basedOn w:val="Normal"/>
    <w:uiPriority w:val="99"/>
    <w:unhideWhenUsed/>
    <w:rsid w:val="00326f90"/>
    <w:pPr>
      <w:numPr>
        <w:ilvl w:val="0"/>
        <w:numId w:val="4"/>
      </w:numPr>
      <w:spacing w:before="0" w:after="24"/>
      <w:contextualSpacing/>
    </w:pPr>
    <w:rPr/>
  </w:style>
  <w:style w:type="paragraph" w:styleId="ListNumber2">
    <w:name w:val="List Number 2"/>
    <w:basedOn w:val="Normal"/>
    <w:uiPriority w:val="99"/>
    <w:unhideWhenUsed/>
    <w:rsid w:val="0029639d"/>
    <w:pPr>
      <w:numPr>
        <w:ilvl w:val="0"/>
        <w:numId w:val="5"/>
      </w:numPr>
      <w:spacing w:before="0" w:after="24"/>
      <w:contextualSpacing/>
    </w:pPr>
    <w:rPr/>
  </w:style>
  <w:style w:type="paragraph" w:styleId="ListNumber3">
    <w:name w:val="List Number 3"/>
    <w:basedOn w:val="Normal"/>
    <w:uiPriority w:val="99"/>
    <w:unhideWhenUsed/>
    <w:rsid w:val="0029639d"/>
    <w:pPr>
      <w:numPr>
        <w:ilvl w:val="0"/>
        <w:numId w:val="6"/>
      </w:numPr>
      <w:spacing w:before="0" w:after="24"/>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582</Words>
  <Characters>3351</Characters>
  <CharactersWithSpaces>3923</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2026-10-21T02:26:44Z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